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76" w:rsidRPr="00DB03E0" w:rsidRDefault="00F83E76" w:rsidP="00F83E76">
      <w:pPr>
        <w:jc w:val="center"/>
        <w:rPr>
          <w:rFonts w:ascii="Monotype Corsiva" w:hAnsi="Monotype Corsiva"/>
          <w:b/>
          <w:sz w:val="36"/>
          <w:szCs w:val="36"/>
          <w:lang w:val="es-ES_tradnl" w:eastAsia="es-ES_tradnl"/>
        </w:rPr>
      </w:pPr>
      <w:r w:rsidRPr="00DB03E0">
        <w:rPr>
          <w:rFonts w:ascii="Monotype Corsiva" w:hAnsi="Monotype Corsiva"/>
          <w:b/>
          <w:sz w:val="36"/>
          <w:szCs w:val="36"/>
          <w:lang w:val="es-ES_tradnl" w:eastAsia="es-ES_tradnl"/>
        </w:rPr>
        <w:t>HONORABLE CONCEJO DELIBERANTE DE COLON</w:t>
      </w:r>
    </w:p>
    <w:p w:rsidR="00F83E76" w:rsidRPr="00DB03E0" w:rsidRDefault="00F83E76" w:rsidP="00F83E76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CALLE 51 Y 17 – (2720) – COLON (BS. AS.)</w:t>
      </w:r>
    </w:p>
    <w:p w:rsidR="00F83E76" w:rsidRPr="00DB03E0" w:rsidRDefault="00F83E76" w:rsidP="00F83E76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Presidencia: 02473 – 430889</w:t>
      </w:r>
    </w:p>
    <w:p w:rsidR="00F83E76" w:rsidRPr="00DB03E0" w:rsidRDefault="00F83E76" w:rsidP="00F83E76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Mesa de Entrada: 02473 – 421894</w:t>
      </w:r>
    </w:p>
    <w:p w:rsidR="00F83E76" w:rsidRPr="00DB03E0" w:rsidRDefault="00F83E76" w:rsidP="00F83E76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 xml:space="preserve">E-mail: </w:t>
      </w:r>
      <w:hyperlink r:id="rId6" w:history="1">
        <w:r w:rsidRPr="00DB03E0">
          <w:rPr>
            <w:rFonts w:ascii="Monotype Corsiva" w:hAnsi="Monotype Corsiva"/>
            <w:b/>
            <w:color w:val="0000FF"/>
            <w:sz w:val="28"/>
            <w:szCs w:val="28"/>
            <w:lang w:val="es-ES_tradnl" w:eastAsia="es-ES_tradnl"/>
          </w:rPr>
          <w:t>hcdcolonba@yahoo.com.ar</w:t>
        </w:r>
      </w:hyperlink>
    </w:p>
    <w:p w:rsidR="00F83E76" w:rsidRPr="00324E89" w:rsidRDefault="00F83E76" w:rsidP="00F83E76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b/>
          <w:sz w:val="28"/>
          <w:szCs w:val="28"/>
          <w:lang w:val="es-ES_tradnl" w:eastAsia="es-ES_tradnl"/>
        </w:rPr>
        <w:t>“Las Islas Malvinas, Georgias del Sur y Sán</w:t>
      </w:r>
      <w:r>
        <w:rPr>
          <w:rFonts w:ascii="Monotype Corsiva" w:hAnsi="Monotype Corsiva"/>
          <w:b/>
          <w:sz w:val="28"/>
          <w:szCs w:val="28"/>
          <w:lang w:val="es-ES_tradnl" w:eastAsia="es-ES_tradnl"/>
        </w:rPr>
        <w:t>dwich del Sur son Argentinas”.-</w:t>
      </w:r>
      <w:r>
        <w:rPr>
          <w:rFonts w:eastAsia="Calibri"/>
          <w:lang w:eastAsia="en-US"/>
        </w:rPr>
        <w:t xml:space="preserve">                                    </w:t>
      </w:r>
    </w:p>
    <w:p w:rsidR="00F83E76" w:rsidRDefault="00F83E76" w:rsidP="00F83E76">
      <w:pPr>
        <w:jc w:val="both"/>
        <w:rPr>
          <w:sz w:val="24"/>
          <w:szCs w:val="24"/>
          <w:lang w:val="es-ES_tradnl" w:eastAsia="es-ES_tradnl"/>
        </w:rPr>
      </w:pPr>
    </w:p>
    <w:p w:rsidR="00F83E76" w:rsidRPr="00B74982" w:rsidRDefault="00F83E76" w:rsidP="00F83E76">
      <w:pPr>
        <w:jc w:val="center"/>
        <w:rPr>
          <w:b/>
          <w:sz w:val="24"/>
        </w:rPr>
      </w:pPr>
      <w:r w:rsidRPr="00B74982">
        <w:rPr>
          <w:b/>
          <w:sz w:val="24"/>
        </w:rPr>
        <w:t>EL HONORABLE CONCEJO DELIBERANTE DE COLON (Bs. As) SANCIONA CON      FUERZA DE:</w:t>
      </w:r>
    </w:p>
    <w:p w:rsidR="00F83E76" w:rsidRPr="00316BF8" w:rsidRDefault="00F83E76" w:rsidP="00F83E76">
      <w:pPr>
        <w:ind w:firstLine="708"/>
        <w:jc w:val="both"/>
        <w:rPr>
          <w:sz w:val="24"/>
          <w:szCs w:val="24"/>
          <w:lang w:val="es-ES_tradnl" w:eastAsia="es-ES_tradnl"/>
        </w:rPr>
      </w:pPr>
    </w:p>
    <w:p w:rsidR="00F83E76" w:rsidRDefault="00F83E76" w:rsidP="00F83E76">
      <w:pPr>
        <w:rPr>
          <w:b/>
          <w:sz w:val="24"/>
          <w:szCs w:val="24"/>
          <w:u w:val="single"/>
          <w:lang w:val="es-ES_tradnl" w:eastAsia="es-ES_tradnl"/>
        </w:rPr>
      </w:pPr>
      <w:r>
        <w:rPr>
          <w:b/>
          <w:sz w:val="24"/>
          <w:szCs w:val="24"/>
          <w:lang w:val="es-ES_tradnl" w:eastAsia="es-ES_tradnl"/>
        </w:rPr>
        <w:t xml:space="preserve">                                                              </w:t>
      </w:r>
      <w:r>
        <w:rPr>
          <w:b/>
          <w:sz w:val="24"/>
          <w:szCs w:val="24"/>
          <w:u w:val="single"/>
          <w:lang w:val="es-ES_tradnl" w:eastAsia="es-ES_tradnl"/>
        </w:rPr>
        <w:t>ORDENANZA Nº</w:t>
      </w:r>
      <w:r w:rsidR="004B77B9">
        <w:rPr>
          <w:b/>
          <w:sz w:val="24"/>
          <w:szCs w:val="24"/>
          <w:u w:val="single"/>
          <w:lang w:val="es-ES_tradnl" w:eastAsia="es-ES_tradnl"/>
        </w:rPr>
        <w:t xml:space="preserve"> 4316</w:t>
      </w:r>
      <w:bookmarkStart w:id="0" w:name="_GoBack"/>
      <w:bookmarkEnd w:id="0"/>
      <w:r>
        <w:rPr>
          <w:b/>
          <w:sz w:val="24"/>
          <w:szCs w:val="24"/>
          <w:u w:val="single"/>
          <w:lang w:val="es-ES_tradnl" w:eastAsia="es-ES_tradnl"/>
        </w:rPr>
        <w:t>.-</w:t>
      </w:r>
    </w:p>
    <w:p w:rsidR="00F83E76" w:rsidRDefault="00F83E76" w:rsidP="00F83E76">
      <w:pPr>
        <w:spacing w:before="240" w:line="360" w:lineRule="auto"/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4B77B9" w:rsidRDefault="00F83E76" w:rsidP="004B77B9">
      <w:pPr>
        <w:jc w:val="both"/>
        <w:rPr>
          <w:sz w:val="24"/>
          <w:szCs w:val="24"/>
        </w:rPr>
      </w:pPr>
      <w:r w:rsidRPr="00EC73D2">
        <w:rPr>
          <w:rFonts w:eastAsia="Calibri"/>
          <w:b/>
          <w:i/>
          <w:sz w:val="24"/>
          <w:szCs w:val="24"/>
          <w:u w:val="single"/>
          <w:lang w:eastAsia="en-US"/>
        </w:rPr>
        <w:t>ARTÍCULO 1°:</w:t>
      </w:r>
      <w:r w:rsidRPr="00BD0BC5">
        <w:t xml:space="preserve"> </w:t>
      </w:r>
      <w:r w:rsidR="004B77B9" w:rsidRPr="004B77B9">
        <w:rPr>
          <w:i/>
          <w:sz w:val="24"/>
          <w:szCs w:val="24"/>
        </w:rPr>
        <w:t>Modifícase el Artículo 2º de la Ordenanza 4104 que quedará redactado de la siguiente manera:</w:t>
      </w:r>
    </w:p>
    <w:p w:rsidR="004B77B9" w:rsidRDefault="004B77B9" w:rsidP="004B77B9">
      <w:pPr>
        <w:jc w:val="both"/>
        <w:rPr>
          <w:sz w:val="24"/>
          <w:szCs w:val="24"/>
        </w:rPr>
      </w:pPr>
    </w:p>
    <w:p w:rsidR="004B77B9" w:rsidRPr="00501F09" w:rsidRDefault="004B77B9" w:rsidP="004B77B9">
      <w:pPr>
        <w:jc w:val="both"/>
        <w:rPr>
          <w:i/>
          <w:sz w:val="24"/>
          <w:szCs w:val="24"/>
        </w:rPr>
      </w:pPr>
      <w:r w:rsidRPr="00501F09">
        <w:rPr>
          <w:i/>
          <w:sz w:val="24"/>
          <w:szCs w:val="24"/>
        </w:rPr>
        <w:t>ARTICULO 2°: El Departamento Ejecutivo otorgará permiso de extracción de árboles de la vía pública solamente ante las siguientes causales:</w:t>
      </w:r>
    </w:p>
    <w:p w:rsidR="004B77B9" w:rsidRPr="00501F09" w:rsidRDefault="004B77B9" w:rsidP="004B77B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es-AR"/>
        </w:rPr>
      </w:pPr>
      <w:r w:rsidRPr="00501F09">
        <w:rPr>
          <w:rFonts w:ascii="Times New Roman" w:hAnsi="Times New Roman" w:cs="Times New Roman"/>
          <w:i/>
          <w:sz w:val="24"/>
          <w:szCs w:val="24"/>
          <w:lang w:val="es-AR"/>
        </w:rPr>
        <w:t>Decrepitud o decaimiento de su vigor, irrecuperables.</w:t>
      </w:r>
    </w:p>
    <w:p w:rsidR="004B77B9" w:rsidRPr="00501F09" w:rsidRDefault="004B77B9" w:rsidP="004B77B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es-AR"/>
        </w:rPr>
      </w:pPr>
      <w:r w:rsidRPr="00501F09">
        <w:rPr>
          <w:rFonts w:ascii="Times New Roman" w:hAnsi="Times New Roman" w:cs="Times New Roman"/>
          <w:i/>
          <w:sz w:val="24"/>
          <w:szCs w:val="24"/>
          <w:lang w:val="es-AR"/>
        </w:rPr>
        <w:t>Ciclo biológico cumplido.</w:t>
      </w:r>
    </w:p>
    <w:p w:rsidR="004B77B9" w:rsidRPr="00501F09" w:rsidRDefault="004B77B9" w:rsidP="004B77B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es-AR"/>
        </w:rPr>
      </w:pPr>
      <w:r w:rsidRPr="00501F09">
        <w:rPr>
          <w:rFonts w:ascii="Times New Roman" w:hAnsi="Times New Roman" w:cs="Times New Roman"/>
          <w:i/>
          <w:sz w:val="24"/>
          <w:szCs w:val="24"/>
          <w:lang w:val="es-AR"/>
        </w:rPr>
        <w:t>Cuando las causas anteriores mencionadas hagan factible su caída o desprendimiento de ramas que pudieran ocasionar daños que amenacen la seguridad de las personas o bienes.</w:t>
      </w:r>
    </w:p>
    <w:p w:rsidR="004B77B9" w:rsidRPr="00501F09" w:rsidRDefault="004B77B9" w:rsidP="004B77B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es-AR"/>
        </w:rPr>
      </w:pPr>
      <w:r w:rsidRPr="00501F09">
        <w:rPr>
          <w:rFonts w:ascii="Times New Roman" w:hAnsi="Times New Roman" w:cs="Times New Roman"/>
          <w:i/>
          <w:sz w:val="24"/>
          <w:szCs w:val="24"/>
          <w:lang w:val="es-AR"/>
        </w:rPr>
        <w:t>Cuando se trate de especie o variedades que la experiencia demuestre que no son aptas para arbolado público en zonas urbanas.</w:t>
      </w:r>
    </w:p>
    <w:p w:rsidR="004B77B9" w:rsidRPr="00501F09" w:rsidRDefault="004B77B9" w:rsidP="004B77B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es-AR"/>
        </w:rPr>
      </w:pPr>
      <w:r w:rsidRPr="00501F09">
        <w:rPr>
          <w:rFonts w:ascii="Times New Roman" w:hAnsi="Times New Roman" w:cs="Times New Roman"/>
          <w:i/>
          <w:sz w:val="24"/>
          <w:szCs w:val="24"/>
          <w:lang w:val="es-AR"/>
        </w:rPr>
        <w:t>Cuando interfieran en obras de aperturas o ensanche de calles.</w:t>
      </w:r>
    </w:p>
    <w:p w:rsidR="004B77B9" w:rsidRPr="00501F09" w:rsidRDefault="004B77B9" w:rsidP="004B77B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es-AR"/>
        </w:rPr>
      </w:pPr>
      <w:r w:rsidRPr="00501F09">
        <w:rPr>
          <w:rFonts w:ascii="Times New Roman" w:hAnsi="Times New Roman" w:cs="Times New Roman"/>
          <w:i/>
          <w:sz w:val="24"/>
          <w:szCs w:val="24"/>
          <w:lang w:val="es-AR"/>
        </w:rPr>
        <w:t>Cuando la inclinación del árbol amenace su caída o provoque trastornos al tránsito de peatones y vehículos.</w:t>
      </w:r>
    </w:p>
    <w:p w:rsidR="004B77B9" w:rsidRPr="00501F09" w:rsidRDefault="004B77B9" w:rsidP="004B77B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es-AR"/>
        </w:rPr>
      </w:pPr>
      <w:r w:rsidRPr="00501F09">
        <w:rPr>
          <w:rFonts w:ascii="Times New Roman" w:hAnsi="Times New Roman" w:cs="Times New Roman"/>
          <w:i/>
          <w:sz w:val="24"/>
          <w:szCs w:val="24"/>
          <w:lang w:val="es-AR"/>
        </w:rPr>
        <w:t xml:space="preserve">Cuando se encuentre fuera de la línea con el resto del arbolado. </w:t>
      </w:r>
    </w:p>
    <w:p w:rsidR="004B77B9" w:rsidRPr="00501F09" w:rsidRDefault="004B77B9" w:rsidP="004B77B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es-AR"/>
        </w:rPr>
      </w:pPr>
      <w:r w:rsidRPr="00501F09">
        <w:rPr>
          <w:rFonts w:ascii="Times New Roman" w:hAnsi="Times New Roman" w:cs="Times New Roman"/>
          <w:i/>
          <w:sz w:val="24"/>
          <w:szCs w:val="24"/>
          <w:lang w:val="es-AR"/>
        </w:rPr>
        <w:t>Cuando por mutilaciones voluntarias o accidentales de diversa índole no se pueda lograr su recuperación.</w:t>
      </w:r>
    </w:p>
    <w:p w:rsidR="004B77B9" w:rsidRPr="00501F09" w:rsidRDefault="004B77B9" w:rsidP="004B77B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es-AR"/>
        </w:rPr>
      </w:pPr>
      <w:r w:rsidRPr="00501F09">
        <w:rPr>
          <w:rFonts w:ascii="Times New Roman" w:hAnsi="Times New Roman" w:cs="Times New Roman"/>
          <w:i/>
          <w:sz w:val="24"/>
          <w:szCs w:val="24"/>
          <w:lang w:val="es-AR"/>
        </w:rPr>
        <w:t xml:space="preserve"> Cuando interfiera u obstaculice la prestación de un servicio público-</w:t>
      </w:r>
    </w:p>
    <w:p w:rsidR="004B77B9" w:rsidRPr="004B77B9" w:rsidRDefault="004B77B9" w:rsidP="004B77B9">
      <w:pPr>
        <w:pStyle w:val="Prrafodelista"/>
        <w:jc w:val="both"/>
        <w:rPr>
          <w:rFonts w:ascii="Times New Roman" w:hAnsi="Times New Roman" w:cs="Times New Roman"/>
          <w:i/>
          <w:sz w:val="24"/>
          <w:szCs w:val="24"/>
          <w:lang w:val="es-AR"/>
        </w:rPr>
      </w:pPr>
      <w:r w:rsidRPr="00501F09">
        <w:rPr>
          <w:rFonts w:ascii="Times New Roman" w:hAnsi="Times New Roman" w:cs="Times New Roman"/>
          <w:i/>
          <w:sz w:val="24"/>
          <w:szCs w:val="24"/>
          <w:lang w:val="es-AR"/>
        </w:rPr>
        <w:t xml:space="preserve"> El permiso correspondiente se solicita a través de una nota al DE, debiendo el solicitante    acreditar título de propiedad del inmueble. El DE tendrá la </w:t>
      </w:r>
      <w:r w:rsidRPr="004B77B9">
        <w:rPr>
          <w:rFonts w:ascii="Times New Roman" w:hAnsi="Times New Roman" w:cs="Times New Roman"/>
          <w:i/>
          <w:sz w:val="24"/>
          <w:szCs w:val="24"/>
          <w:lang w:val="es-AR"/>
        </w:rPr>
        <w:t>obligación de formar un expediente con cada solicitud de vecinos. En caso de que el reclamo sea aprobado, deberá informarse al Consejo de Arbolado Público.</w:t>
      </w:r>
      <w:r>
        <w:rPr>
          <w:rFonts w:ascii="Times New Roman" w:hAnsi="Times New Roman" w:cs="Times New Roman"/>
          <w:i/>
          <w:sz w:val="24"/>
          <w:szCs w:val="24"/>
          <w:lang w:val="es-AR"/>
        </w:rPr>
        <w:t>------------------------------</w:t>
      </w:r>
    </w:p>
    <w:p w:rsidR="00F83E76" w:rsidRPr="004B77B9" w:rsidRDefault="00F83E76" w:rsidP="00F83E76">
      <w:pPr>
        <w:spacing w:before="240" w:line="360" w:lineRule="auto"/>
        <w:jc w:val="both"/>
        <w:rPr>
          <w:rFonts w:eastAsia="Calibri"/>
          <w:i/>
          <w:sz w:val="24"/>
          <w:szCs w:val="24"/>
          <w:lang w:val="es-AR" w:eastAsia="en-US"/>
        </w:rPr>
      </w:pPr>
    </w:p>
    <w:p w:rsidR="004B77B9" w:rsidRDefault="00F83E76" w:rsidP="004B77B9">
      <w:pPr>
        <w:jc w:val="both"/>
        <w:rPr>
          <w:sz w:val="24"/>
          <w:szCs w:val="24"/>
        </w:rPr>
      </w:pPr>
      <w:r>
        <w:rPr>
          <w:rFonts w:eastAsia="Calibri"/>
          <w:b/>
          <w:i/>
          <w:sz w:val="24"/>
          <w:szCs w:val="24"/>
          <w:u w:val="single"/>
          <w:lang w:eastAsia="en-US"/>
        </w:rPr>
        <w:t>ARTÍCULO 2</w:t>
      </w:r>
      <w:r w:rsidRPr="003729C1">
        <w:rPr>
          <w:rFonts w:eastAsia="Calibri"/>
          <w:b/>
          <w:i/>
          <w:sz w:val="24"/>
          <w:szCs w:val="24"/>
          <w:u w:val="single"/>
          <w:lang w:eastAsia="en-US"/>
        </w:rPr>
        <w:t>º:</w:t>
      </w:r>
      <w:r w:rsidRPr="00BD0BC5">
        <w:t xml:space="preserve"> </w:t>
      </w:r>
      <w:r w:rsidR="004B77B9" w:rsidRPr="004B77B9">
        <w:rPr>
          <w:i/>
          <w:sz w:val="24"/>
          <w:szCs w:val="24"/>
        </w:rPr>
        <w:t>Modifícase el Artículo 7º de la Ordenanza 4104 que quedará redactado de la siguiente manera:</w:t>
      </w:r>
    </w:p>
    <w:p w:rsidR="004B77B9" w:rsidRDefault="004B77B9" w:rsidP="004B77B9">
      <w:pPr>
        <w:jc w:val="both"/>
        <w:rPr>
          <w:i/>
          <w:sz w:val="24"/>
          <w:szCs w:val="24"/>
        </w:rPr>
      </w:pPr>
    </w:p>
    <w:p w:rsidR="004B77B9" w:rsidRDefault="004B77B9" w:rsidP="004B77B9">
      <w:pPr>
        <w:jc w:val="both"/>
        <w:rPr>
          <w:i/>
          <w:sz w:val="24"/>
          <w:szCs w:val="24"/>
        </w:rPr>
      </w:pPr>
      <w:r w:rsidRPr="00260A6D">
        <w:rPr>
          <w:i/>
          <w:sz w:val="24"/>
          <w:szCs w:val="24"/>
        </w:rPr>
        <w:t>ARTICULO 7°: Cuando los árboles causen INCONVENIENTES GRAVES en la red de alumbrado público, el Departamento Ejecutivo autorizará a la concesionaria del servicio a efectuar la poda de los mismos con cargo a la entidad prestadora. La causa de falta de iluminación no será considerada CAUSA GRAVE, quedando en estos casos sujeta la poda a los mecanismos determinados en los artículos 1°, 2° de la presente ordenanza.”</w:t>
      </w:r>
      <w:r>
        <w:rPr>
          <w:i/>
          <w:sz w:val="24"/>
          <w:szCs w:val="24"/>
        </w:rPr>
        <w:t>------------------------</w:t>
      </w:r>
    </w:p>
    <w:p w:rsidR="00F83E76" w:rsidRDefault="00F83E76" w:rsidP="00F83E76">
      <w:pPr>
        <w:spacing w:before="240" w:line="360" w:lineRule="auto"/>
        <w:jc w:val="both"/>
        <w:rPr>
          <w:rFonts w:eastAsia="Calibri"/>
          <w:i/>
          <w:sz w:val="24"/>
          <w:szCs w:val="24"/>
          <w:lang w:eastAsia="en-US"/>
        </w:rPr>
      </w:pPr>
    </w:p>
    <w:p w:rsidR="004B77B9" w:rsidRDefault="00F83E76" w:rsidP="004B77B9">
      <w:pPr>
        <w:jc w:val="both"/>
        <w:rPr>
          <w:sz w:val="24"/>
          <w:szCs w:val="24"/>
        </w:rPr>
      </w:pPr>
      <w:r>
        <w:rPr>
          <w:rFonts w:eastAsia="Calibri"/>
          <w:b/>
          <w:i/>
          <w:sz w:val="24"/>
          <w:szCs w:val="24"/>
          <w:u w:val="single"/>
          <w:lang w:eastAsia="en-US"/>
        </w:rPr>
        <w:t>ARTÍCULO 3</w:t>
      </w:r>
      <w:r w:rsidRPr="009E0772">
        <w:rPr>
          <w:rFonts w:eastAsia="Calibri"/>
          <w:b/>
          <w:i/>
          <w:sz w:val="24"/>
          <w:szCs w:val="24"/>
          <w:u w:val="single"/>
          <w:lang w:eastAsia="en-US"/>
        </w:rPr>
        <w:t>º:</w:t>
      </w:r>
      <w:r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="004B77B9">
        <w:rPr>
          <w:sz w:val="24"/>
          <w:szCs w:val="24"/>
        </w:rPr>
        <w:t>Modifícase el Artículo 10º de la Ordenanza 4104 que quedará redactado de la siguiente manera:</w:t>
      </w:r>
    </w:p>
    <w:p w:rsidR="004B77B9" w:rsidRDefault="004B77B9" w:rsidP="004B77B9">
      <w:pPr>
        <w:jc w:val="both"/>
        <w:rPr>
          <w:i/>
          <w:sz w:val="24"/>
          <w:szCs w:val="24"/>
        </w:rPr>
      </w:pPr>
    </w:p>
    <w:p w:rsidR="004B77B9" w:rsidRPr="00260A6D" w:rsidRDefault="004B77B9" w:rsidP="004B77B9">
      <w:pPr>
        <w:jc w:val="both"/>
        <w:rPr>
          <w:i/>
          <w:sz w:val="24"/>
          <w:szCs w:val="24"/>
        </w:rPr>
      </w:pPr>
      <w:r w:rsidRPr="00260A6D">
        <w:rPr>
          <w:i/>
          <w:sz w:val="24"/>
          <w:szCs w:val="24"/>
        </w:rPr>
        <w:t>ARTICULO 10°: Para la aprobación de obras de edificación o infraestructura deberá presentarse como documentación anexa al relevamiento de cantidad, tipo, tamaño y ubicación de especies existentes frente al predio.</w:t>
      </w:r>
    </w:p>
    <w:p w:rsidR="004B77B9" w:rsidRPr="00260A6D" w:rsidRDefault="004B77B9" w:rsidP="004B77B9">
      <w:pPr>
        <w:jc w:val="both"/>
        <w:rPr>
          <w:i/>
          <w:sz w:val="24"/>
          <w:szCs w:val="24"/>
        </w:rPr>
      </w:pPr>
      <w:r w:rsidRPr="00260A6D">
        <w:rPr>
          <w:i/>
          <w:sz w:val="24"/>
          <w:szCs w:val="24"/>
        </w:rPr>
        <w:t>Deberá tener en cuenta el arbolado existente, de no ser posible su conservación debe certificarse el compromiso de plantar otros árboles adecuados al tipo de vereda.</w:t>
      </w:r>
    </w:p>
    <w:p w:rsidR="004B77B9" w:rsidRPr="00260A6D" w:rsidRDefault="004B77B9" w:rsidP="004B77B9">
      <w:pPr>
        <w:jc w:val="both"/>
        <w:rPr>
          <w:i/>
          <w:sz w:val="24"/>
          <w:szCs w:val="24"/>
        </w:rPr>
      </w:pPr>
      <w:r w:rsidRPr="00260A6D">
        <w:rPr>
          <w:i/>
          <w:sz w:val="24"/>
          <w:szCs w:val="24"/>
        </w:rPr>
        <w:t>Queda prohibido el establecimiento de estructuras móviles o fijas, de cualquier tipo de material en tanto y en cuanto estas ocupen espacio aéreo público e interfieran en el normal desarrollo, establecimiento, o crecimiento del arbolado público. -</w:t>
      </w:r>
    </w:p>
    <w:p w:rsidR="004B77B9" w:rsidRDefault="004B77B9" w:rsidP="004B77B9">
      <w:pPr>
        <w:jc w:val="both"/>
        <w:rPr>
          <w:i/>
          <w:sz w:val="24"/>
          <w:szCs w:val="24"/>
        </w:rPr>
      </w:pPr>
      <w:r w:rsidRPr="00260A6D">
        <w:rPr>
          <w:i/>
          <w:sz w:val="24"/>
          <w:szCs w:val="24"/>
        </w:rPr>
        <w:t>En caso que estas estructuras sean preexistentes al momento de que el Poder Ejecutivo determine el planeado del arbolado público en dicho lugar, esta deberá ser removida o modificada por el frentista.</w:t>
      </w:r>
      <w:r>
        <w:rPr>
          <w:i/>
          <w:sz w:val="24"/>
          <w:szCs w:val="24"/>
        </w:rPr>
        <w:t>------------------------------------------------------------------------------------</w:t>
      </w:r>
    </w:p>
    <w:p w:rsidR="004B77B9" w:rsidRDefault="004B77B9" w:rsidP="004B77B9">
      <w:pPr>
        <w:jc w:val="both"/>
        <w:rPr>
          <w:i/>
          <w:sz w:val="24"/>
          <w:szCs w:val="24"/>
        </w:rPr>
      </w:pPr>
    </w:p>
    <w:p w:rsidR="004B77B9" w:rsidRDefault="00F83E76" w:rsidP="004B77B9">
      <w:pPr>
        <w:jc w:val="both"/>
        <w:rPr>
          <w:sz w:val="24"/>
          <w:szCs w:val="24"/>
        </w:rPr>
      </w:pPr>
      <w:r>
        <w:rPr>
          <w:rFonts w:eastAsia="Calibri"/>
          <w:b/>
          <w:i/>
          <w:sz w:val="24"/>
          <w:szCs w:val="24"/>
          <w:u w:val="single"/>
          <w:lang w:eastAsia="en-US"/>
        </w:rPr>
        <w:t>ARTÍCULO 4</w:t>
      </w:r>
      <w:r w:rsidRPr="009E0772">
        <w:rPr>
          <w:rFonts w:eastAsia="Calibri"/>
          <w:b/>
          <w:i/>
          <w:sz w:val="24"/>
          <w:szCs w:val="24"/>
          <w:u w:val="single"/>
          <w:lang w:eastAsia="en-US"/>
        </w:rPr>
        <w:t>º:</w:t>
      </w:r>
      <w:r>
        <w:rPr>
          <w:rFonts w:eastAsia="Calibri"/>
          <w:b/>
          <w:i/>
          <w:sz w:val="24"/>
          <w:szCs w:val="24"/>
          <w:u w:val="single"/>
          <w:lang w:eastAsia="en-US"/>
        </w:rPr>
        <w:t xml:space="preserve"> </w:t>
      </w:r>
      <w:r w:rsidR="004B77B9">
        <w:rPr>
          <w:sz w:val="24"/>
          <w:szCs w:val="24"/>
        </w:rPr>
        <w:t>Modifícase el Artículo 14º de la Ordenanza 4104 que quedará redactado de la siguiente manera:</w:t>
      </w:r>
    </w:p>
    <w:p w:rsidR="004B77B9" w:rsidRDefault="004B77B9" w:rsidP="004B77B9">
      <w:pPr>
        <w:jc w:val="both"/>
        <w:rPr>
          <w:sz w:val="24"/>
          <w:szCs w:val="24"/>
        </w:rPr>
      </w:pPr>
    </w:p>
    <w:p w:rsidR="004B77B9" w:rsidRPr="00260A6D" w:rsidRDefault="004B77B9" w:rsidP="004B77B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ARTICULO 14°:</w:t>
      </w:r>
      <w:r w:rsidRPr="00260A6D">
        <w:rPr>
          <w:i/>
          <w:sz w:val="24"/>
          <w:szCs w:val="24"/>
        </w:rPr>
        <w:t xml:space="preserve"> Todo proyecto de loteo o subdivisión, apertura o ensanche de calles, deberá prever un “Ante Proyecto de Arbolado Público”, donde consten especies, variedades, distancia entre plantas, etc.- como requisito para dar curso favorable a la petición. A fin de cumplimentar lo dispuesto en el presente artículo, en los respectivos trámites, tomará parte el Departamento Ejecutivo. -</w:t>
      </w:r>
    </w:p>
    <w:p w:rsidR="004B77B9" w:rsidRDefault="004B77B9" w:rsidP="004B77B9">
      <w:pPr>
        <w:jc w:val="both"/>
        <w:rPr>
          <w:i/>
          <w:sz w:val="24"/>
          <w:szCs w:val="24"/>
        </w:rPr>
      </w:pPr>
      <w:r w:rsidRPr="00260A6D">
        <w:rPr>
          <w:i/>
          <w:sz w:val="24"/>
          <w:szCs w:val="24"/>
        </w:rPr>
        <w:t>El ante proyecto debe incorporar especies arbóreas que reúnan características de adaptación, resistencia, sanidad y belleza ornamental y, a la vez, deben ser seleccionadas teniendo en cuenta el porte y la estructura para que en un futuro no se vean afectados los tendidos de los diferentes servicios y las edificaciones, con</w:t>
      </w:r>
      <w:r>
        <w:rPr>
          <w:i/>
          <w:sz w:val="24"/>
          <w:szCs w:val="24"/>
        </w:rPr>
        <w:t>forme al Plan Regulador Vigente”.-----------------------------------</w:t>
      </w:r>
    </w:p>
    <w:p w:rsidR="00F83E76" w:rsidRDefault="00F83E76" w:rsidP="004B77B9">
      <w:pPr>
        <w:jc w:val="both"/>
        <w:rPr>
          <w:i/>
          <w:sz w:val="24"/>
          <w:szCs w:val="24"/>
        </w:rPr>
      </w:pPr>
    </w:p>
    <w:p w:rsidR="004B77B9" w:rsidRDefault="004B77B9" w:rsidP="004B77B9">
      <w:pPr>
        <w:jc w:val="both"/>
        <w:rPr>
          <w:sz w:val="24"/>
          <w:szCs w:val="24"/>
        </w:rPr>
      </w:pPr>
      <w:r w:rsidRPr="004B77B9">
        <w:rPr>
          <w:b/>
          <w:i/>
          <w:sz w:val="24"/>
          <w:szCs w:val="24"/>
          <w:u w:val="single"/>
        </w:rPr>
        <w:t>ARTÍCULO 5º:</w:t>
      </w:r>
      <w:r>
        <w:rPr>
          <w:b/>
          <w:i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Modifícase el Artículo 15º de la Ordenanza 4104 que quedará redactado de la siguiente manera:</w:t>
      </w:r>
    </w:p>
    <w:p w:rsidR="004B77B9" w:rsidRPr="0008500E" w:rsidRDefault="004B77B9" w:rsidP="004B77B9">
      <w:pPr>
        <w:jc w:val="both"/>
        <w:rPr>
          <w:i/>
          <w:sz w:val="24"/>
          <w:szCs w:val="24"/>
        </w:rPr>
      </w:pPr>
      <w:r w:rsidRPr="0008500E">
        <w:rPr>
          <w:i/>
          <w:sz w:val="24"/>
          <w:szCs w:val="24"/>
        </w:rPr>
        <w:t>“</w:t>
      </w:r>
      <w:r>
        <w:rPr>
          <w:i/>
          <w:sz w:val="24"/>
          <w:szCs w:val="24"/>
        </w:rPr>
        <w:t>ARTICULO 15°:</w:t>
      </w:r>
      <w:r w:rsidRPr="0008500E">
        <w:rPr>
          <w:i/>
          <w:sz w:val="24"/>
          <w:szCs w:val="24"/>
        </w:rPr>
        <w:t xml:space="preserve"> De las multas:</w:t>
      </w:r>
    </w:p>
    <w:p w:rsidR="004B77B9" w:rsidRPr="0008500E" w:rsidRDefault="004B77B9" w:rsidP="004B77B9">
      <w:pPr>
        <w:jc w:val="both"/>
        <w:rPr>
          <w:i/>
          <w:sz w:val="24"/>
          <w:szCs w:val="24"/>
        </w:rPr>
      </w:pPr>
      <w:r w:rsidRPr="0008500E">
        <w:rPr>
          <w:i/>
          <w:sz w:val="24"/>
          <w:szCs w:val="24"/>
        </w:rPr>
        <w:t>Inciso a) Por extraer o talar árboles del arbolado público sin autorización del Organismo Competente y por árbol extraído de 500 a 1000 módulos.</w:t>
      </w:r>
    </w:p>
    <w:p w:rsidR="004B77B9" w:rsidRPr="0008500E" w:rsidRDefault="004B77B9" w:rsidP="004B77B9">
      <w:pPr>
        <w:jc w:val="both"/>
        <w:rPr>
          <w:i/>
          <w:sz w:val="24"/>
          <w:szCs w:val="24"/>
        </w:rPr>
      </w:pPr>
      <w:r w:rsidRPr="0008500E">
        <w:rPr>
          <w:i/>
          <w:sz w:val="24"/>
          <w:szCs w:val="24"/>
        </w:rPr>
        <w:t>Inciso b) Por poda de árboles del arbolado público sin autorización del Organismo Competente y por árbol podado de 300 a 750 módulos.</w:t>
      </w:r>
    </w:p>
    <w:p w:rsidR="004B77B9" w:rsidRPr="0008500E" w:rsidRDefault="004B77B9" w:rsidP="004B77B9">
      <w:pPr>
        <w:jc w:val="both"/>
        <w:rPr>
          <w:i/>
          <w:sz w:val="24"/>
          <w:szCs w:val="24"/>
        </w:rPr>
      </w:pPr>
      <w:r w:rsidRPr="0008500E">
        <w:rPr>
          <w:i/>
          <w:sz w:val="24"/>
          <w:szCs w:val="24"/>
        </w:rPr>
        <w:t>Inciso c) Por producir daños en el arbolado público sin autorización del Organismo Competente y por árbol dañado de 200 a 500 módulos.</w:t>
      </w:r>
    </w:p>
    <w:p w:rsidR="004B77B9" w:rsidRPr="0008500E" w:rsidRDefault="004B77B9" w:rsidP="004B77B9">
      <w:pPr>
        <w:jc w:val="both"/>
        <w:rPr>
          <w:i/>
          <w:sz w:val="24"/>
          <w:szCs w:val="24"/>
        </w:rPr>
      </w:pPr>
      <w:r w:rsidRPr="0008500E">
        <w:rPr>
          <w:i/>
          <w:sz w:val="24"/>
          <w:szCs w:val="24"/>
        </w:rPr>
        <w:t>El Tribunal de Faltas informará anualmente en el mes de diciembre el total de las actas cobradas y el monto de las mismas, quedando lo recaudado en este concepto como “Fondo de Reforestación” para la ciudad, pudiéndose usar en el año entrante, se</w:t>
      </w:r>
      <w:r>
        <w:rPr>
          <w:i/>
          <w:sz w:val="24"/>
          <w:szCs w:val="24"/>
        </w:rPr>
        <w:t>gú</w:t>
      </w:r>
      <w:r>
        <w:rPr>
          <w:i/>
          <w:sz w:val="24"/>
          <w:szCs w:val="24"/>
        </w:rPr>
        <w:t>n la Ley Provincial n° 12.276.------------------------------------------------------------------------------------------------------------</w:t>
      </w:r>
    </w:p>
    <w:p w:rsidR="004B77B9" w:rsidRPr="004B77B9" w:rsidRDefault="004B77B9" w:rsidP="004B77B9">
      <w:pPr>
        <w:jc w:val="both"/>
        <w:rPr>
          <w:i/>
          <w:sz w:val="24"/>
          <w:szCs w:val="24"/>
        </w:rPr>
      </w:pPr>
    </w:p>
    <w:p w:rsidR="00C826F6" w:rsidRDefault="00C826F6"/>
    <w:p w:rsidR="00F83E76" w:rsidRDefault="00F83E76"/>
    <w:p w:rsidR="00F83E76" w:rsidRPr="00BD0BC5" w:rsidRDefault="00F83E76" w:rsidP="00F83E76">
      <w:pPr>
        <w:spacing w:after="200" w:line="360" w:lineRule="auto"/>
        <w:jc w:val="both"/>
        <w:rPr>
          <w:b/>
          <w:i/>
          <w:sz w:val="24"/>
        </w:rPr>
      </w:pPr>
      <w:r w:rsidRPr="002937B7">
        <w:rPr>
          <w:b/>
          <w:i/>
          <w:sz w:val="24"/>
          <w:szCs w:val="24"/>
        </w:rPr>
        <w:t>DADO Y APROBADO EN LA SALA DE SESIONES DEL HONORABLE CONCEJO DELIBERANTE DE COLON (BS. AS.) “CONSCRIPTO GERARDO MARCHISIO HEROE NACIONAL”</w:t>
      </w:r>
      <w:r w:rsidRPr="002937B7">
        <w:rPr>
          <w:b/>
          <w:i/>
          <w:sz w:val="24"/>
        </w:rPr>
        <w:t>, A</w:t>
      </w:r>
      <w:r>
        <w:rPr>
          <w:b/>
          <w:i/>
          <w:sz w:val="24"/>
        </w:rPr>
        <w:t xml:space="preserve"> LOS VEINTICUATRO DIAS </w:t>
      </w:r>
      <w:r w:rsidRPr="002937B7">
        <w:rPr>
          <w:b/>
          <w:i/>
          <w:sz w:val="24"/>
        </w:rPr>
        <w:t xml:space="preserve">DEL MES DE </w:t>
      </w:r>
      <w:r>
        <w:rPr>
          <w:b/>
          <w:i/>
          <w:sz w:val="24"/>
        </w:rPr>
        <w:t>ABRIL</w:t>
      </w:r>
      <w:r w:rsidRPr="002937B7">
        <w:rPr>
          <w:b/>
          <w:i/>
          <w:sz w:val="24"/>
        </w:rPr>
        <w:t xml:space="preserve"> DE DOS MIL </w:t>
      </w:r>
      <w:r>
        <w:rPr>
          <w:b/>
          <w:i/>
          <w:sz w:val="24"/>
        </w:rPr>
        <w:t>VEINTITRES</w:t>
      </w:r>
      <w:r w:rsidRPr="002937B7">
        <w:rPr>
          <w:b/>
          <w:i/>
          <w:sz w:val="24"/>
        </w:rPr>
        <w:t xml:space="preserve">, EN </w:t>
      </w:r>
      <w:r>
        <w:rPr>
          <w:b/>
          <w:i/>
          <w:sz w:val="24"/>
        </w:rPr>
        <w:t>SESION ORDINARIA.---------------------------------------------------------------</w:t>
      </w:r>
    </w:p>
    <w:p w:rsidR="00F83E76" w:rsidRDefault="00F83E76" w:rsidP="00F83E76">
      <w:pPr>
        <w:spacing w:line="360" w:lineRule="auto"/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spacing w:line="360" w:lineRule="auto"/>
        <w:jc w:val="both"/>
        <w:rPr>
          <w:b/>
          <w:i/>
          <w:sz w:val="24"/>
          <w:u w:val="single"/>
        </w:rPr>
      </w:pPr>
      <w:r w:rsidRPr="002937B7">
        <w:rPr>
          <w:b/>
          <w:i/>
          <w:sz w:val="24"/>
          <w:u w:val="single"/>
        </w:rPr>
        <w:t>EXPEDIENTE Nº</w:t>
      </w:r>
      <w:r w:rsidR="004B77B9">
        <w:rPr>
          <w:b/>
          <w:i/>
          <w:sz w:val="24"/>
          <w:u w:val="single"/>
        </w:rPr>
        <w:t xml:space="preserve"> 9475</w:t>
      </w:r>
      <w:r>
        <w:rPr>
          <w:b/>
          <w:i/>
          <w:sz w:val="24"/>
          <w:u w:val="single"/>
        </w:rPr>
        <w:t>.-</w:t>
      </w: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</w:rPr>
      </w:pPr>
      <w:r>
        <w:rPr>
          <w:b/>
          <w:i/>
          <w:sz w:val="24"/>
        </w:rPr>
        <w:t>Nicolás Rubén Luján                                                                        Pablo Gabriel Pino</w:t>
      </w:r>
    </w:p>
    <w:p w:rsidR="00F83E76" w:rsidRDefault="00F83E76" w:rsidP="00F83E76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Secretario                                                                                        Presidente </w:t>
      </w: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/>
    <w:sectPr w:rsidR="00F83E76" w:rsidSect="00FB119F">
      <w:pgSz w:w="11907" w:h="16839" w:code="9"/>
      <w:pgMar w:top="1418" w:right="851" w:bottom="1418" w:left="1701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D7A77"/>
    <w:multiLevelType w:val="hybridMultilevel"/>
    <w:tmpl w:val="3970D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76"/>
    <w:rsid w:val="004B77B9"/>
    <w:rsid w:val="00C826F6"/>
    <w:rsid w:val="00F83E76"/>
    <w:rsid w:val="00FB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77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77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cdcolonba@yahoo.com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HCDaudio</dc:creator>
  <cp:lastModifiedBy>HCDaudio</cp:lastModifiedBy>
  <cp:revision>2</cp:revision>
  <dcterms:created xsi:type="dcterms:W3CDTF">2023-04-25T15:23:00Z</dcterms:created>
  <dcterms:modified xsi:type="dcterms:W3CDTF">2023-04-25T15:23:00Z</dcterms:modified>
</cp:coreProperties>
</file>